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ageBreakBefore w:val="0"/>
        <w:spacing w:after="240" w:before="0"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ageBreakBefore w:val="0"/>
        <w:spacing w:after="240" w:before="0"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ageBreakBefore w:val="0"/>
        <w:spacing w:after="240" w:before="0"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ageBreakBefore w:val="0"/>
        <w:spacing w:after="240" w:before="0" w:line="276" w:lineRule="auto"/>
        <w:ind w:left="0" w:firstLine="0"/>
        <w:rPr>
          <w:rFonts w:ascii="Merriweather" w:cs="Merriweather" w:eastAsia="Merriweather" w:hAnsi="Merriweather"/>
          <w:b w:val="1"/>
          <w:color w:val="221e1f"/>
        </w:rPr>
      </w:pPr>
      <w:r w:rsidDel="00000000" w:rsidR="00000000" w:rsidRPr="00000000">
        <w:rPr>
          <w:rFonts w:ascii="Tahoma" w:cs="Tahoma" w:eastAsia="Tahoma" w:hAnsi="Tahoma"/>
          <w:b w:val="1"/>
          <w:color w:val="221e1f"/>
          <w:rtl w:val="0"/>
        </w:rPr>
        <w:t xml:space="preserve">Կարո Արմեն</w:t>
      </w:r>
    </w:p>
    <w:p w:rsidR="00000000" w:rsidDel="00000000" w:rsidP="00000000" w:rsidRDefault="00000000" w:rsidRPr="00000000" w14:paraId="00000005">
      <w:pPr>
        <w:pageBreakBefore w:val="0"/>
        <w:spacing w:after="240" w:before="0" w:line="276" w:lineRule="auto"/>
        <w:ind w:left="0" w:firstLine="0"/>
        <w:rPr>
          <w:rFonts w:ascii="Merriweather" w:cs="Merriweather" w:eastAsia="Merriweather" w:hAnsi="Merriweather"/>
          <w:i w:val="1"/>
          <w:color w:val="221e1f"/>
        </w:rPr>
      </w:pPr>
      <w:r w:rsidDel="00000000" w:rsidR="00000000" w:rsidRPr="00000000">
        <w:rPr>
          <w:rFonts w:ascii="Tahoma" w:cs="Tahoma" w:eastAsia="Tahoma" w:hAnsi="Tahoma"/>
          <w:i w:val="1"/>
          <w:color w:val="221e1f"/>
          <w:rtl w:val="0"/>
        </w:rPr>
        <w:t xml:space="preserve">Հայաստանի մանուկներ հիմնադրամի (COAF) հիմնադիր </w:t>
      </w:r>
    </w:p>
    <w:p w:rsidR="00000000" w:rsidDel="00000000" w:rsidP="00000000" w:rsidRDefault="00000000" w:rsidRPr="00000000" w14:paraId="00000006">
      <w:pPr>
        <w:pageBreakBefore w:val="0"/>
        <w:spacing w:after="240" w:before="0" w:line="276" w:lineRule="auto"/>
        <w:ind w:left="0" w:firstLine="0"/>
        <w:rPr>
          <w:rFonts w:ascii="Merriweather" w:cs="Merriweather" w:eastAsia="Merriweather" w:hAnsi="Merriweather"/>
          <w:color w:val="221e1f"/>
        </w:rPr>
      </w:pPr>
      <w:r w:rsidDel="00000000" w:rsidR="00000000" w:rsidRPr="00000000">
        <w:rPr>
          <w:rFonts w:ascii="Tahoma" w:cs="Tahoma" w:eastAsia="Tahoma" w:hAnsi="Tahoma"/>
          <w:color w:val="221e1f"/>
          <w:rtl w:val="0"/>
        </w:rPr>
        <w:t xml:space="preserve">Ծնվել է 1953թ</w:t>
      </w:r>
      <w:r w:rsidDel="00000000" w:rsidR="00000000" w:rsidRPr="00000000">
        <w:rPr>
          <w:rFonts w:ascii="Times New Roman" w:cs="Times New Roman" w:eastAsia="Times New Roman" w:hAnsi="Times New Roman"/>
          <w:color w:val="221e1f"/>
          <w:rtl w:val="0"/>
        </w:rPr>
        <w:t xml:space="preserve">․</w:t>
      </w:r>
      <w:r w:rsidDel="00000000" w:rsidR="00000000" w:rsidRPr="00000000">
        <w:rPr>
          <w:rFonts w:ascii="Tahoma" w:cs="Tahoma" w:eastAsia="Tahoma" w:hAnsi="Tahoma"/>
          <w:color w:val="221e1f"/>
          <w:rtl w:val="0"/>
        </w:rPr>
        <w:t xml:space="preserve"> Թուրքիայում, 17 տարեկանում տեղափոխվել է ԱՄՆ: Սկսելով բանկային կրտսեր պաշտոններից, առաքիչի աշխատանքից՝ նա մի քանի տարում կարողացել է հաջողության հասնել, ինչը հնարավորություն է տվել նրան շարունակելու կրթությունը և օգտվելու ԱՄՆ-ի ընձեռած կրթական և ձեռնարկատիրական լայն դաշտից:</w:t>
      </w:r>
    </w:p>
    <w:p w:rsidR="00000000" w:rsidDel="00000000" w:rsidP="00000000" w:rsidRDefault="00000000" w:rsidRPr="00000000" w14:paraId="00000007">
      <w:pPr>
        <w:pageBreakBefore w:val="0"/>
        <w:spacing w:after="240" w:before="0" w:line="276" w:lineRule="auto"/>
        <w:ind w:left="0" w:firstLine="0"/>
        <w:rPr>
          <w:rFonts w:ascii="Merriweather" w:cs="Merriweather" w:eastAsia="Merriweather" w:hAnsi="Merriweather"/>
          <w:color w:val="221e1f"/>
        </w:rPr>
      </w:pPr>
      <w:r w:rsidDel="00000000" w:rsidR="00000000" w:rsidRPr="00000000">
        <w:rPr>
          <w:rFonts w:ascii="Tahoma" w:cs="Tahoma" w:eastAsia="Tahoma" w:hAnsi="Tahoma"/>
          <w:color w:val="221e1f"/>
          <w:rtl w:val="0"/>
        </w:rPr>
        <w:t xml:space="preserve">1978 թ. վաստակել է իր առաջին մեծ գումարը՝ ի ցույց դնելով իր արտառոց բիզնես ջիղը: Գիտական աստիճան է ստացել Նյու Յորքի համալսարանում՝ ֆիզիկական քիմիայի ասպարեզում։ Հիմնել է կենսատեխնոլոգիական «Աջենուս» ընկերությունը:</w:t>
      </w:r>
    </w:p>
    <w:p w:rsidR="00000000" w:rsidDel="00000000" w:rsidP="00000000" w:rsidRDefault="00000000" w:rsidRPr="00000000" w14:paraId="00000008">
      <w:pPr>
        <w:pageBreakBefore w:val="0"/>
        <w:spacing w:after="240" w:before="0" w:line="276" w:lineRule="auto"/>
        <w:ind w:left="0" w:firstLine="0"/>
        <w:rPr>
          <w:rFonts w:ascii="Merriweather" w:cs="Merriweather" w:eastAsia="Merriweather" w:hAnsi="Merriweather"/>
          <w:color w:val="221e1f"/>
        </w:rPr>
      </w:pPr>
      <w:r w:rsidDel="00000000" w:rsidR="00000000" w:rsidRPr="00000000">
        <w:rPr>
          <w:rFonts w:ascii="Tahoma" w:cs="Tahoma" w:eastAsia="Tahoma" w:hAnsi="Tahoma"/>
          <w:color w:val="221e1f"/>
          <w:rtl w:val="0"/>
        </w:rPr>
        <w:t xml:space="preserve">Գիտության, ձեռներեցության և բարեգործության բնագավառներում թե՛ ԱՄՆ-ի, թե՛ հայաստանյան տարբեր կառույցների կողմից արժանացել է բազմաթիվ մրցանակների և պարգևների՝</w:t>
      </w:r>
    </w:p>
    <w:p w:rsidR="00000000" w:rsidDel="00000000" w:rsidP="00000000" w:rsidRDefault="00000000" w:rsidRPr="00000000" w14:paraId="00000009">
      <w:pPr>
        <w:pageBreakBefore w:val="0"/>
        <w:numPr>
          <w:ilvl w:val="0"/>
          <w:numId w:val="1"/>
        </w:numPr>
        <w:spacing w:after="240" w:before="0" w:line="276" w:lineRule="auto"/>
        <w:ind w:left="180" w:firstLine="360"/>
        <w:rPr>
          <w:rFonts w:ascii="Merriweather" w:cs="Merriweather" w:eastAsia="Merriweather" w:hAnsi="Merriweather"/>
          <w:color w:val="221e1f"/>
        </w:rPr>
      </w:pPr>
      <w:r w:rsidDel="00000000" w:rsidR="00000000" w:rsidRPr="00000000">
        <w:rPr>
          <w:rFonts w:ascii="Tahoma" w:cs="Tahoma" w:eastAsia="Tahoma" w:hAnsi="Tahoma"/>
          <w:color w:val="221e1f"/>
          <w:rtl w:val="0"/>
        </w:rPr>
        <w:t xml:space="preserve">Ellis Island պատվո մեդալը (2004թ.)՝ Հայաստանում գործադրած իր մարդասիրական ջանքերի, ինչպես նաև ամերիկյան հասարակությունում ունեցած ներդրումների համար, </w:t>
      </w:r>
    </w:p>
    <w:p w:rsidR="00000000" w:rsidDel="00000000" w:rsidP="00000000" w:rsidRDefault="00000000" w:rsidRPr="00000000" w14:paraId="0000000A">
      <w:pPr>
        <w:pageBreakBefore w:val="0"/>
        <w:numPr>
          <w:ilvl w:val="0"/>
          <w:numId w:val="1"/>
        </w:numPr>
        <w:spacing w:after="240" w:before="0" w:line="276" w:lineRule="auto"/>
        <w:ind w:left="180" w:firstLine="360"/>
        <w:rPr>
          <w:rFonts w:ascii="Merriweather" w:cs="Merriweather" w:eastAsia="Merriweather" w:hAnsi="Merriweather"/>
          <w:color w:val="221e1f"/>
        </w:rPr>
      </w:pPr>
      <w:r w:rsidDel="00000000" w:rsidR="00000000" w:rsidRPr="00000000">
        <w:rPr>
          <w:rFonts w:ascii="Tahoma" w:cs="Tahoma" w:eastAsia="Tahoma" w:hAnsi="Tahoma"/>
          <w:color w:val="221e1f"/>
          <w:rtl w:val="0"/>
        </w:rPr>
        <w:t xml:space="preserve">«Սաբին հումանիտար» բարձր մրցանակը (2006թ.)՝  Սաբինի Վակցինայի ինստիտուտի կողմից՝ կենսատեխնոլոգիական և առաջադիմական բժշկական հետազոտությունների ոլորտում իր ունեցած նվաճումների համար,</w:t>
      </w:r>
    </w:p>
    <w:p w:rsidR="00000000" w:rsidDel="00000000" w:rsidP="00000000" w:rsidRDefault="00000000" w:rsidRPr="00000000" w14:paraId="0000000B">
      <w:pPr>
        <w:pageBreakBefore w:val="0"/>
        <w:numPr>
          <w:ilvl w:val="0"/>
          <w:numId w:val="1"/>
        </w:numPr>
        <w:spacing w:after="240" w:before="0" w:line="276" w:lineRule="auto"/>
        <w:ind w:left="180" w:firstLine="360"/>
        <w:rPr>
          <w:rFonts w:ascii="Merriweather" w:cs="Merriweather" w:eastAsia="Merriweather" w:hAnsi="Merriweather"/>
          <w:color w:val="221e1f"/>
        </w:rPr>
      </w:pPr>
      <w:r w:rsidDel="00000000" w:rsidR="00000000" w:rsidRPr="00000000">
        <w:rPr>
          <w:rFonts w:ascii="Tahoma" w:cs="Tahoma" w:eastAsia="Tahoma" w:hAnsi="Tahoma"/>
          <w:color w:val="221e1f"/>
          <w:rtl w:val="0"/>
        </w:rPr>
        <w:t xml:space="preserve">ՀՀ  Վարչապետի պատվո մեդալը (2007թ.)` Հայաստանի գյուղական վայրերի վերականգնման գործում նշանակալի ներդրումներ ունենալու համար:</w:t>
      </w:r>
    </w:p>
    <w:p w:rsidR="00000000" w:rsidDel="00000000" w:rsidP="00000000" w:rsidRDefault="00000000" w:rsidRPr="00000000" w14:paraId="0000000C">
      <w:pPr>
        <w:pageBreakBefore w:val="0"/>
        <w:numPr>
          <w:ilvl w:val="0"/>
          <w:numId w:val="1"/>
        </w:numPr>
        <w:spacing w:after="240" w:before="0" w:line="276" w:lineRule="auto"/>
        <w:ind w:left="180" w:firstLine="360"/>
        <w:rPr>
          <w:rFonts w:ascii="Merriweather" w:cs="Merriweather" w:eastAsia="Merriweather" w:hAnsi="Merriweather"/>
          <w:color w:val="221e1f"/>
        </w:rPr>
      </w:pPr>
      <w:r w:rsidDel="00000000" w:rsidR="00000000" w:rsidRPr="00000000">
        <w:rPr>
          <w:rFonts w:ascii="Tahoma" w:cs="Tahoma" w:eastAsia="Tahoma" w:hAnsi="Tahoma"/>
          <w:color w:val="221e1f"/>
          <w:rtl w:val="0"/>
        </w:rPr>
        <w:t xml:space="preserve">2013թ. ՀՀ Նախագահ Սերժ Սարգսյանի հրամանագրով Հանրապետության տոնի առթիվ դոկտոր Արմենը պարգևատրվել է Մխիթար Հերացու մեդալով՝ Հայաստանի Հանրապետության առողջապահության զարգացմանը մատուցած ծառայությունների, բարձր մասնագիտական, գործնական աշխատանքի, ինչպես նաև նշանակալի բարեգործական գործունեության համար:</w:t>
      </w:r>
    </w:p>
    <w:p w:rsidR="00000000" w:rsidDel="00000000" w:rsidP="00000000" w:rsidRDefault="00000000" w:rsidRPr="00000000" w14:paraId="0000000D">
      <w:pPr>
        <w:pageBreakBefore w:val="0"/>
        <w:numPr>
          <w:ilvl w:val="0"/>
          <w:numId w:val="1"/>
        </w:numPr>
        <w:spacing w:after="240" w:before="0" w:line="276" w:lineRule="auto"/>
        <w:ind w:left="180" w:firstLine="360"/>
        <w:rPr>
          <w:rFonts w:ascii="Merriweather" w:cs="Merriweather" w:eastAsia="Merriweather" w:hAnsi="Merriweather"/>
          <w:color w:val="221e1f"/>
        </w:rPr>
      </w:pPr>
      <w:r w:rsidDel="00000000" w:rsidR="00000000" w:rsidRPr="00000000">
        <w:rPr>
          <w:rFonts w:ascii="Tahoma" w:cs="Tahoma" w:eastAsia="Tahoma" w:hAnsi="Tahoma"/>
          <w:color w:val="221e1f"/>
          <w:rtl w:val="0"/>
        </w:rPr>
        <w:t xml:space="preserve">2016թ. արժանացել է ԱՄՆ-ի «Տարվա ներգաղթյալ ձեռներեց» մրցանակին:</w:t>
      </w:r>
    </w:p>
    <w:p w:rsidR="00000000" w:rsidDel="00000000" w:rsidP="00000000" w:rsidRDefault="00000000" w:rsidRPr="00000000" w14:paraId="0000000E">
      <w:pPr>
        <w:pageBreakBefore w:val="0"/>
        <w:spacing w:after="240" w:before="0" w:line="276" w:lineRule="auto"/>
        <w:ind w:left="360" w:firstLine="360"/>
        <w:jc w:val="both"/>
        <w:rPr>
          <w:rFonts w:ascii="Montserrat" w:cs="Montserrat" w:eastAsia="Montserrat" w:hAnsi="Montserrat"/>
          <w:b w:val="1"/>
          <w:color w:val="221e1f"/>
        </w:rPr>
      </w:pPr>
      <w:r w:rsidDel="00000000" w:rsidR="00000000" w:rsidRPr="00000000">
        <w:rPr>
          <w:rtl w:val="0"/>
        </w:rPr>
      </w:r>
    </w:p>
    <w:sectPr>
      <w:headerReference r:id="rId6" w:type="default"/>
      <w:footerReference r:id="rId7" w:type="default"/>
      <w:pgSz w:h="16838" w:w="11906" w:orient="portrait"/>
      <w:pgMar w:bottom="1440" w:top="1440" w:left="990" w:right="147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  <w:font w:name="Courier New"/>
  <w:font w:name="Montserra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Tahoma">
    <w:embedRegular w:fontKey="{00000000-0000-0000-0000-000000000000}" r:id="rId5" w:subsetted="0"/>
    <w:embedBold w:fontKey="{00000000-0000-0000-0000-000000000000}" r:id="rId6" w:subsetted="0"/>
  </w:font>
  <w:font w:name="Noto Sans Symbols">
    <w:embedRegular w:fontKey="{00000000-0000-0000-0000-000000000000}" r:id="rId7" w:subsetted="0"/>
    <w:embedBold w:fontKey="{00000000-0000-0000-0000-000000000000}" r:id="rId8" w:subsetted="0"/>
  </w:font>
  <w:font w:name="Merriweather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0">
    <w:pPr>
      <w:pageBreakBefore w:val="0"/>
      <w:shd w:fill="ffffff" w:val="clear"/>
      <w:spacing w:after="200" w:before="200" w:line="96.00000000000001" w:lineRule="auto"/>
      <w:jc w:val="right"/>
      <w:rPr>
        <w:rFonts w:ascii="Montserrat" w:cs="Montserrat" w:eastAsia="Montserrat" w:hAnsi="Montserrat"/>
        <w:color w:val="221e1f"/>
        <w:sz w:val="16"/>
        <w:szCs w:val="16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1">
    <w:pPr>
      <w:pageBreakBefore w:val="0"/>
      <w:shd w:fill="ffffff" w:val="clear"/>
      <w:spacing w:after="200" w:before="200" w:line="96.00000000000001" w:lineRule="auto"/>
      <w:jc w:val="right"/>
      <w:rPr>
        <w:rFonts w:ascii="Montserrat" w:cs="Montserrat" w:eastAsia="Montserrat" w:hAnsi="Montserrat"/>
        <w:color w:val="221e1f"/>
        <w:sz w:val="16"/>
        <w:szCs w:val="16"/>
      </w:rPr>
    </w:pPr>
    <w:r w:rsidDel="00000000" w:rsidR="00000000" w:rsidRPr="00000000">
      <w:rPr>
        <w:rFonts w:ascii="Montserrat" w:cs="Montserrat" w:eastAsia="Montserrat" w:hAnsi="Montserrat"/>
        <w:color w:val="221e1f"/>
        <w:sz w:val="16"/>
        <w:szCs w:val="16"/>
        <w:rtl w:val="0"/>
      </w:rPr>
      <w:t xml:space="preserve">coaf.org</w:t>
    </w:r>
  </w:p>
  <w:p w:rsidR="00000000" w:rsidDel="00000000" w:rsidP="00000000" w:rsidRDefault="00000000" w:rsidRPr="00000000" w14:paraId="00000012">
    <w:pPr>
      <w:pageBreakBefore w:val="0"/>
      <w:shd w:fill="ffffff" w:val="clear"/>
      <w:spacing w:after="200" w:before="200" w:line="96.00000000000001" w:lineRule="auto"/>
      <w:jc w:val="right"/>
      <w:rPr>
        <w:rFonts w:ascii="Montserrat" w:cs="Montserrat" w:eastAsia="Montserrat" w:hAnsi="Montserrat"/>
        <w:color w:val="221e1f"/>
        <w:sz w:val="16"/>
        <w:szCs w:val="16"/>
      </w:rPr>
    </w:pPr>
    <w:r w:rsidDel="00000000" w:rsidR="00000000" w:rsidRPr="00000000">
      <w:rPr>
        <w:rFonts w:ascii="Montserrat" w:cs="Montserrat" w:eastAsia="Montserrat" w:hAnsi="Montserrat"/>
        <w:color w:val="221e1f"/>
        <w:sz w:val="16"/>
        <w:szCs w:val="16"/>
        <w:rtl w:val="0"/>
      </w:rPr>
      <w:t xml:space="preserve">coaf@coaf.org</w:t>
    </w:r>
  </w:p>
  <w:p w:rsidR="00000000" w:rsidDel="00000000" w:rsidP="00000000" w:rsidRDefault="00000000" w:rsidRPr="00000000" w14:paraId="00000013">
    <w:pPr>
      <w:pageBreakBefore w:val="0"/>
      <w:shd w:fill="ffffff" w:val="clear"/>
      <w:spacing w:after="200" w:before="200" w:line="96.00000000000001" w:lineRule="auto"/>
      <w:jc w:val="right"/>
      <w:rPr/>
    </w:pPr>
    <w:r w:rsidDel="00000000" w:rsidR="00000000" w:rsidRPr="00000000">
      <w:rPr>
        <w:rFonts w:ascii="Montserrat" w:cs="Montserrat" w:eastAsia="Montserrat" w:hAnsi="Montserrat"/>
        <w:color w:val="221e1f"/>
        <w:sz w:val="16"/>
        <w:szCs w:val="16"/>
        <w:rtl w:val="0"/>
      </w:rPr>
      <w:t xml:space="preserve">+374  10 502076</w:t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0F">
    <w:pPr>
      <w:pageBreakBefore w:val="0"/>
      <w:rPr/>
    </w:pPr>
    <w:r w:rsidDel="00000000" w:rsidR="00000000" w:rsidRPr="00000000">
      <w:rPr/>
      <w:drawing>
        <wp:anchor allowOverlap="1" behindDoc="0" distB="114300" distT="114300" distL="114300" distR="114300" hidden="0" layoutInCell="1" locked="0" relativeHeight="0" simplePos="0">
          <wp:simplePos x="0" y="0"/>
          <wp:positionH relativeFrom="page">
            <wp:posOffset>619125</wp:posOffset>
          </wp:positionH>
          <wp:positionV relativeFrom="page">
            <wp:posOffset>190500</wp:posOffset>
          </wp:positionV>
          <wp:extent cx="1038225" cy="1438275"/>
          <wp:effectExtent b="0" l="0" r="0" t="0"/>
          <wp:wrapSquare wrapText="bothSides" distB="114300" distT="114300" distL="114300" distR="114300"/>
          <wp:docPr id="2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19781" l="22797" r="20725" t="12111"/>
                  <a:stretch>
                    <a:fillRect/>
                  </a:stretch>
                </pic:blipFill>
                <pic:spPr>
                  <a:xfrm>
                    <a:off x="0" y="0"/>
                    <a:ext cx="1038225" cy="1438275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tl w:val="0"/>
      </w:rPr>
    </w:r>
    <w:r w:rsidDel="00000000" w:rsidR="00000000" w:rsidRPr="00000000">
      <mc:AlternateContent>
        <mc:Choice Requires="wpg">
          <w:drawing>
            <wp:anchor allowOverlap="1" behindDoc="0" distB="114300" distT="114300" distL="114300" distR="114300" hidden="0" layoutInCell="1" locked="0" relativeHeight="0" simplePos="0">
              <wp:simplePos x="0" y="0"/>
              <wp:positionH relativeFrom="column">
                <wp:posOffset>5648325</wp:posOffset>
              </wp:positionH>
              <wp:positionV relativeFrom="paragraph">
                <wp:posOffset>104776</wp:posOffset>
              </wp:positionV>
              <wp:extent cx="711167" cy="533375"/>
              <wp:effectExtent b="0" l="0" r="0" t="0"/>
              <wp:wrapSquare wrapText="bothSides" distB="114300" distT="114300" distL="114300" distR="114300"/>
              <wp:docPr id="1" name=""/>
              <a:graphic>
                <a:graphicData uri="http://schemas.microsoft.com/office/word/2010/wordprocessingShape">
                  <wps:wsp>
                    <wps:cNvSpPr/>
                    <wps:cNvPr id="2" name="Shape 2"/>
                    <wps:spPr>
                      <a:xfrm>
                        <a:off x="0" y="0"/>
                        <a:ext cx="533375" cy="711167"/>
                      </a:xfrm>
                      <a:prstGeom prst="rect">
                        <a:avLst/>
                      </a:prstGeom>
                      <a:noFill/>
                    </wps:spPr>
                    <wps:bodyPr/>
                  </wps:wsp>
                </a:graphicData>
              </a:graphic>
            </wp:anchor>
          </w:drawing>
        </mc:Choice>
        <mc:Fallback>
          <w:drawing>
            <wp:anchor allowOverlap="1" behindDoc="0" distB="114300" distT="114300" distL="114300" distR="114300" hidden="0" layoutInCell="1" locked="0" relativeHeight="0" simplePos="0">
              <wp:simplePos x="0" y="0"/>
              <wp:positionH relativeFrom="column">
                <wp:posOffset>5648325</wp:posOffset>
              </wp:positionH>
              <wp:positionV relativeFrom="paragraph">
                <wp:posOffset>104776</wp:posOffset>
              </wp:positionV>
              <wp:extent cx="711167" cy="533375"/>
              <wp:effectExtent b="0" l="0" r="0" t="0"/>
              <wp:wrapSquare wrapText="bothSides" distB="114300" distT="114300" distL="114300" distR="114300"/>
              <wp:docPr id="1" name="image2.png"/>
              <a:graphic>
                <a:graphicData uri="http://schemas.openxmlformats.org/drawingml/2006/picture">
                  <pic:pic>
                    <pic:nvPicPr>
                      <pic:cNvPr id="0" name="image2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711167" cy="53337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ontserrat-regular.ttf"/><Relationship Id="rId2" Type="http://schemas.openxmlformats.org/officeDocument/2006/relationships/font" Target="fonts/Montserrat-bold.ttf"/><Relationship Id="rId3" Type="http://schemas.openxmlformats.org/officeDocument/2006/relationships/font" Target="fonts/Montserrat-italic.ttf"/><Relationship Id="rId4" Type="http://schemas.openxmlformats.org/officeDocument/2006/relationships/font" Target="fonts/Montserrat-boldItalic.ttf"/><Relationship Id="rId11" Type="http://schemas.openxmlformats.org/officeDocument/2006/relationships/font" Target="fonts/Merriweather-italic.ttf"/><Relationship Id="rId10" Type="http://schemas.openxmlformats.org/officeDocument/2006/relationships/font" Target="fonts/Merriweather-bold.ttf"/><Relationship Id="rId12" Type="http://schemas.openxmlformats.org/officeDocument/2006/relationships/font" Target="fonts/Merriweather-boldItalic.ttf"/><Relationship Id="rId9" Type="http://schemas.openxmlformats.org/officeDocument/2006/relationships/font" Target="fonts/Merriweather-regular.ttf"/><Relationship Id="rId5" Type="http://schemas.openxmlformats.org/officeDocument/2006/relationships/font" Target="fonts/Tahoma-regular.ttf"/><Relationship Id="rId6" Type="http://schemas.openxmlformats.org/officeDocument/2006/relationships/font" Target="fonts/Tahoma-bold.ttf"/><Relationship Id="rId7" Type="http://schemas.openxmlformats.org/officeDocument/2006/relationships/font" Target="fonts/NotoSansSymbols-regular.ttf"/><Relationship Id="rId8" Type="http://schemas.openxmlformats.org/officeDocument/2006/relationships/font" Target="fonts/NotoSansSymbols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